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AF" w:rsidRDefault="00DD7CF2">
      <w:pPr>
        <w:spacing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</w:t>
      </w:r>
      <w:r>
        <w:rPr>
          <w:rFonts w:ascii="標楷體" w:eastAsia="標楷體" w:hAnsi="標楷體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/>
          <w:b/>
          <w:color w:val="000000"/>
          <w:sz w:val="28"/>
          <w:szCs w:val="28"/>
        </w:rPr>
        <w:t>國民中學部定課程客語文領域課程</w:t>
      </w:r>
      <w:r>
        <w:rPr>
          <w:rFonts w:ascii="標楷體" w:eastAsia="標楷體" w:hAnsi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/>
          <w:b/>
          <w:color w:val="000000"/>
          <w:sz w:val="28"/>
          <w:szCs w:val="28"/>
        </w:rPr>
        <w:t>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8" w:type="dxa"/>
        <w:tblLook w:val="04A0"/>
      </w:tblPr>
      <w:tblGrid>
        <w:gridCol w:w="669"/>
        <w:gridCol w:w="998"/>
        <w:gridCol w:w="672"/>
        <w:gridCol w:w="398"/>
        <w:gridCol w:w="712"/>
        <w:gridCol w:w="1248"/>
        <w:gridCol w:w="104"/>
        <w:gridCol w:w="898"/>
        <w:gridCol w:w="507"/>
        <w:gridCol w:w="1056"/>
        <w:gridCol w:w="973"/>
        <w:gridCol w:w="1393"/>
      </w:tblGrid>
      <w:tr w:rsidR="009E56AF" w:rsidTr="00CE7F94">
        <w:tc>
          <w:tcPr>
            <w:tcW w:w="9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嘉義市</w:t>
            </w:r>
            <w:r>
              <w:rPr>
                <w:rFonts w:ascii="標楷體" w:eastAsia="標楷體" w:hAnsi="標楷體"/>
                <w:kern w:val="0"/>
                <w:szCs w:val="20"/>
              </w:rPr>
              <w:t>○○</w:t>
            </w:r>
            <w:r>
              <w:rPr>
                <w:rFonts w:ascii="標楷體" w:eastAsia="標楷體" w:hAnsi="標楷體"/>
                <w:kern w:val="0"/>
                <w:szCs w:val="20"/>
              </w:rPr>
              <w:t>國民中學</w:t>
            </w:r>
            <w:r w:rsidR="009D0FE6">
              <w:rPr>
                <w:rFonts w:ascii="標楷體" w:eastAsia="標楷體" w:hAnsi="標楷體"/>
                <w:kern w:val="0"/>
                <w:szCs w:val="20"/>
              </w:rPr>
              <w:t>113</w:t>
            </w:r>
            <w:r>
              <w:rPr>
                <w:rFonts w:ascii="標楷體" w:eastAsia="標楷體" w:hAnsi="標楷體"/>
                <w:kern w:val="0"/>
                <w:szCs w:val="20"/>
              </w:rPr>
              <w:t>學年度第二學期</w:t>
            </w:r>
            <w:r>
              <w:rPr>
                <w:rFonts w:ascii="標楷體" w:eastAsia="標楷體" w:hAnsi="標楷體"/>
                <w:kern w:val="0"/>
                <w:szCs w:val="20"/>
              </w:rPr>
              <w:t xml:space="preserve">  </w:t>
            </w:r>
            <w:r w:rsidR="00CE7F94">
              <w:rPr>
                <w:rFonts w:ascii="標楷體" w:eastAsia="標楷體" w:hAnsi="標楷體" w:hint="eastAsia"/>
                <w:szCs w:val="24"/>
                <w:u w:val="thick"/>
              </w:rPr>
              <w:t>八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年級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  <w:u w:val="thick"/>
              </w:rPr>
              <w:t>客語文</w:t>
            </w:r>
            <w:r>
              <w:rPr>
                <w:rFonts w:ascii="標楷體" w:eastAsia="標楷體" w:hAnsi="標楷體"/>
                <w:kern w:val="0"/>
                <w:szCs w:val="20"/>
              </w:rPr>
              <w:t>領域課程計畫</w:t>
            </w:r>
          </w:p>
        </w:tc>
      </w:tr>
      <w:tr w:rsidR="009E56AF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AF" w:rsidRDefault="00DD7CF2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客語文領域團隊</w:t>
            </w:r>
          </w:p>
        </w:tc>
      </w:tr>
      <w:tr w:rsidR="009E56AF" w:rsidTr="00CE7F94">
        <w:trPr>
          <w:trHeight w:val="320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A1身心素質與自我精進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A2系統思考與解決問題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B1符號運用與溝通表達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B3藝術涵養與美感素養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C2人際關係與團隊合作</w:t>
            </w:r>
          </w:p>
          <w:p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C3多元文化與國際理解</w:t>
            </w:r>
          </w:p>
        </w:tc>
      </w:tr>
      <w:tr w:rsidR="009E56AF" w:rsidTr="00CE7F94">
        <w:trPr>
          <w:trHeight w:val="320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9E56A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客-J-C2善用客語文知識以增進溝通協調的能力，具備積極服務人群的態度，提升與人合作與和諧互動的素養。</w:t>
            </w:r>
          </w:p>
          <w:p w:rsidR="009E56AF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9E56AF" w:rsidTr="00CE7F94">
        <w:trPr>
          <w:trHeight w:val="219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1-Ⅳ-1能區別說話者表達的意涵。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1-Ⅳ-2能領會客語文的語言智慧。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#1-Ⅳ-3能正確反應客語文傳達的訊息。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2-Ⅳ-1能陳述客家文化的實踐歷程。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2-Ⅳ-2能體會言說客語的理念。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3-Ⅳ-2能因客語文作品而拓展視野。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#3-Ⅳ-3能運用客語文字解讀篇章訊息。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2-Ⅳ-2能體會言說客語的理念。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#3-Ⅳ-3能運用客語文字解讀篇章訊息。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4-Ⅳ-1能理解客語文書寫的表現方式。</w:t>
            </w:r>
          </w:p>
          <w:p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4-Ⅳ-2能體會使用客語文書寫的理念。</w:t>
            </w:r>
          </w:p>
        </w:tc>
      </w:tr>
      <w:tr w:rsidR="009E56AF" w:rsidTr="00CE7F94">
        <w:trPr>
          <w:trHeight w:val="219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9E56A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Ab-Ⅳ-1 客語進階漢字。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Ac-Ⅳ-2客語進階日常用句。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◎Ad-Ⅳ-1客語散文、小說。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◎Ae-Ⅳ-2客語說話技巧及推論方式。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◎Ad-Ⅳ-2客語詩詞、歌謠。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Bb-Ⅳ-1情緒表達與經驗分享。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Be-Ⅳ-2臺灣自然地景。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Cb-Ⅳ-2客家族群精神。</w:t>
            </w:r>
          </w:p>
          <w:p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Cd-Ⅳ-2臺灣生態發展與活化。</w:t>
            </w:r>
          </w:p>
          <w:p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lastRenderedPageBreak/>
              <w:t>Ce-Ⅳ-2客家文化的傳承與在地化。</w:t>
            </w:r>
          </w:p>
        </w:tc>
      </w:tr>
      <w:tr w:rsidR="009E56AF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融入之議題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戶外教育議題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戶 J4 理解永續發展的意義與責任，並在參與活動的過程中落實原則。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戶 J5 在團隊活動中，養成相互合作與互動的良好態度與技能。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安全教育議題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安 J3 了解日常生活容易發生事故的原因。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環境教育議題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環J3經由環境美學與自然文學了解自然環境的倫理價值。</w:t>
            </w:r>
          </w:p>
          <w:p w:rsidR="009E56AF" w:rsidRDefault="00207DC0" w:rsidP="00207D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環J4了解永續發展的意義（環境、社會、與經濟的均衡發展）與原則。</w:t>
            </w:r>
          </w:p>
        </w:tc>
      </w:tr>
      <w:tr w:rsidR="009E56AF" w:rsidTr="00CE7F94">
        <w:trPr>
          <w:trHeight w:val="300"/>
        </w:trPr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學習目標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:rsidR="009E56AF" w:rsidRDefault="00DD7CF2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第一課 大武山成年禮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1.能了解課文主旨，學習尊重大自然並養成人對環境的關懷。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2.能透過文本資訊中，建立對自己負責與社會的責任感。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第二課 地動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1.能了解課文主旨，明白天災的可怕，並學會尊重大自然。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2.能透過文本資訊中，領略「人不一定能勝天」的道理。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第三課 客家故鄉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1.能了解課文主旨，以及所要傳達的內容。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2.能了解課文中對故鄉的概念。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第四課 發青瞑／發目睡狂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1.能了解文本中小說所要表達的意涵。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2.能學會使用客語書寫短篇故事或小說。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第五課</w:t>
            </w:r>
            <w:r w:rsidRPr="00207DC0">
              <w:rPr>
                <w:rFonts w:ascii="標楷體" w:eastAsia="標楷體" w:hAnsi="標楷體"/>
              </w:rPr>
              <w:t xml:space="preserve"> </w:t>
            </w:r>
            <w:r w:rsidRPr="00207DC0">
              <w:rPr>
                <w:rFonts w:ascii="標楷體" w:eastAsia="標楷體" w:hAnsi="標楷體" w:hint="eastAsia"/>
              </w:rPr>
              <w:t>風吹過个莊頭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1.能欣賞現代客語詞曲之優美。</w:t>
            </w:r>
          </w:p>
          <w:p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2.能運用客語文將詩詞、歌謠改寫短文練習。</w:t>
            </w:r>
          </w:p>
          <w:p w:rsidR="00207DC0" w:rsidRPr="00207DC0" w:rsidRDefault="00D5752B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207DC0" w:rsidRPr="00207DC0">
              <w:rPr>
                <w:rFonts w:ascii="標楷體" w:eastAsia="標楷體" w:hAnsi="標楷體" w:hint="eastAsia"/>
              </w:rPr>
              <w:t>.能學會判斷客語文文句上下重組排序。</w:t>
            </w:r>
          </w:p>
          <w:p w:rsidR="009E56AF" w:rsidRDefault="00D5752B" w:rsidP="00207DC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4</w:t>
            </w:r>
            <w:r w:rsidR="00207DC0" w:rsidRPr="00207DC0">
              <w:rPr>
                <w:rFonts w:ascii="標楷體" w:eastAsia="標楷體" w:hAnsi="標楷體" w:hint="eastAsia"/>
              </w:rPr>
              <w:t>.能透過客語學習客家的伯公文化。</w:t>
            </w:r>
          </w:p>
        </w:tc>
      </w:tr>
      <w:tr w:rsidR="009E56AF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:rsidR="009E56AF" w:rsidRDefault="00DD7CF2">
            <w:pPr>
              <w:ind w:right="151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真平版國中本土語文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客語文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CE7F94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/>
                <w:szCs w:val="24"/>
              </w:rPr>
              <w:t>下教材</w:t>
            </w:r>
          </w:p>
          <w:p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:rsidR="009E56AF" w:rsidRDefault="00DD7CF2">
            <w:pPr>
              <w:pStyle w:val="1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t>口語表達評量</w:t>
            </w:r>
          </w:p>
          <w:p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lastRenderedPageBreak/>
              <w:t>文意理解評量</w:t>
            </w:r>
          </w:p>
          <w:p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t>音訊理解評量</w:t>
            </w:r>
          </w:p>
          <w:p w:rsidR="009E56AF" w:rsidRDefault="00CE7F94" w:rsidP="00CE7F94">
            <w:pPr>
              <w:pStyle w:val="af0"/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CE7F94">
              <w:rPr>
                <w:rFonts w:ascii="標楷體" w:eastAsia="標楷體" w:hAnsi="標楷體" w:hint="eastAsia"/>
              </w:rPr>
              <w:t>語句書寫評量</w:t>
            </w:r>
          </w:p>
        </w:tc>
      </w:tr>
      <w:tr w:rsidR="009E56AF" w:rsidTr="00CE7F94"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教科書版本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每週教學節數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</w:t>
            </w:r>
          </w:p>
        </w:tc>
      </w:tr>
      <w:tr w:rsidR="009E56AF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綜合練習(一)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十三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四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十四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十五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六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十六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十七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十八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九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十九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二十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52B" w:rsidRPr="00207DC0" w:rsidRDefault="00D5752B" w:rsidP="00D5752B">
            <w:pPr>
              <w:spacing w:line="260" w:lineRule="exact"/>
              <w:rPr>
                <w:rFonts w:ascii="標楷體" w:eastAsia="標楷體" w:hAnsi="標楷體"/>
                <w:bCs/>
                <w:kern w:val="0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綜合練習(二)</w:t>
            </w:r>
          </w:p>
        </w:tc>
      </w:tr>
    </w:tbl>
    <w:p w:rsidR="009E56AF" w:rsidRDefault="009E56AF">
      <w:pPr>
        <w:rPr>
          <w:rFonts w:ascii="標楷體" w:eastAsia="標楷體" w:hAnsi="標楷體"/>
        </w:rPr>
      </w:pPr>
    </w:p>
    <w:tbl>
      <w:tblPr>
        <w:tblW w:w="10090" w:type="dxa"/>
        <w:tblLook w:val="04A0"/>
      </w:tblPr>
      <w:tblGrid>
        <w:gridCol w:w="502"/>
        <w:gridCol w:w="1536"/>
        <w:gridCol w:w="690"/>
        <w:gridCol w:w="1027"/>
        <w:gridCol w:w="916"/>
        <w:gridCol w:w="1116"/>
        <w:gridCol w:w="3830"/>
        <w:gridCol w:w="473"/>
      </w:tblGrid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週次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02/11~02/15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02/16~02/22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臺灣生態發展與活化。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1.能了解課文主旨，學習尊重大自然並養成人對環境的關懷。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對自己負責與社會的責任感。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:rsidR="009D0FE6" w:rsidRPr="00474EF9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02/23~03/01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Pr="00087665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:rsidR="009D0FE6" w:rsidRPr="00087665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03/02~03/08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讀篇章訊息。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1.能了解課文主旨，明白天災的可怕，並學會尊重大自然。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2.能透過文本資訊中，領略「人不一定能勝天」的道理。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03/09~03/15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教師帶領學生閱讀並誦讀課文對話，並請學生發表要如何尊重大自然。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03/16~03/22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測驗內容。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9D0FE6" w:rsidRPr="00A8432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03/23~03/29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03/30~04/05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39394F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04/06~04/12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39394F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一、教學準備</w:t>
            </w:r>
          </w:p>
          <w:p w:rsidR="009D0FE6" w:rsidRPr="0039394F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:rsidR="009D0FE6" w:rsidRPr="0039394F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39394F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二、引起動機</w:t>
            </w:r>
          </w:p>
          <w:p w:rsidR="009D0FE6" w:rsidRPr="0039394F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04/13~04/19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9D0FE6" w:rsidRPr="00AE2FEE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04/20~04/26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應客語文傳達的訊息。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說話技巧及推論方式。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學生延伸寫作成短文。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04/27~05/03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:rsidR="009D0FE6" w:rsidRPr="00D73414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:rsidR="009D0FE6" w:rsidRPr="00D73414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:rsidR="009D0FE6" w:rsidRPr="00D73414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05/04~05/10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發目睡狂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1.能了解文本中小說所要表達的意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活動二：課文分析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05/11~05/17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69622A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9D0FE6" w:rsidRPr="00D73414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D73414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05/18~05/24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:rsidR="009D0FE6" w:rsidRPr="00156298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練習」內容。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5432DC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:rsidR="009D0FE6" w:rsidRPr="005432DC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9D0FE6" w:rsidRPr="005432DC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05/25~05/31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06/01~06/07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06/08~06/14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程。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序。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D8234C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測驗內容。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理解評量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06/15~06/21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Pr="001A0EC1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9D0FE6" w:rsidTr="009D0FE6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Default="009D0FE6" w:rsidP="00D5752B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D0FE6">
              <w:rPr>
                <w:rFonts w:ascii="標楷體" w:eastAsia="標楷體" w:hAnsi="標楷體" w:cs="Arial" w:hint="eastAsia"/>
              </w:rPr>
              <w:t>06/22~06/28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9D0FE6" w:rsidRPr="00CB08F2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:rsidR="009D0FE6" w:rsidRPr="00CE7F94" w:rsidRDefault="009D0FE6" w:rsidP="00D5752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E6" w:rsidRDefault="009D0FE6" w:rsidP="00D5752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9D0FE6" w:rsidRPr="00CE7F94" w:rsidRDefault="009D0FE6" w:rsidP="00D5752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書寫評量</w:t>
            </w:r>
          </w:p>
        </w:tc>
      </w:tr>
    </w:tbl>
    <w:p w:rsidR="009E56AF" w:rsidRDefault="009E56AF"/>
    <w:sectPr w:rsidR="009E56AF" w:rsidSect="00165DEF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CF2" w:rsidRDefault="00DD7CF2" w:rsidP="004C218D">
      <w:r>
        <w:separator/>
      </w:r>
    </w:p>
  </w:endnote>
  <w:endnote w:type="continuationSeparator" w:id="0">
    <w:p w:rsidR="00DD7CF2" w:rsidRDefault="00DD7CF2" w:rsidP="004C2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CF2" w:rsidRDefault="00DD7CF2" w:rsidP="004C218D">
      <w:r>
        <w:separator/>
      </w:r>
    </w:p>
  </w:footnote>
  <w:footnote w:type="continuationSeparator" w:id="0">
    <w:p w:rsidR="00DD7CF2" w:rsidRDefault="00DD7CF2" w:rsidP="004C21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E56AF"/>
    <w:rsid w:val="000353E9"/>
    <w:rsid w:val="00165DEF"/>
    <w:rsid w:val="00207DC0"/>
    <w:rsid w:val="004C218D"/>
    <w:rsid w:val="007349B3"/>
    <w:rsid w:val="0097230C"/>
    <w:rsid w:val="009D0FE6"/>
    <w:rsid w:val="009E56AF"/>
    <w:rsid w:val="00CE7F94"/>
    <w:rsid w:val="00D5752B"/>
    <w:rsid w:val="00DD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rsid w:val="00165DEF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165DEF"/>
    <w:pPr>
      <w:spacing w:after="140" w:line="276" w:lineRule="auto"/>
    </w:pPr>
  </w:style>
  <w:style w:type="paragraph" w:styleId="a8">
    <w:name w:val="List"/>
    <w:basedOn w:val="a7"/>
    <w:rsid w:val="00165DEF"/>
    <w:rPr>
      <w:rFonts w:cs="Arial"/>
    </w:rPr>
  </w:style>
  <w:style w:type="paragraph" w:styleId="a9">
    <w:name w:val="caption"/>
    <w:basedOn w:val="a"/>
    <w:qFormat/>
    <w:rsid w:val="00165DE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rsid w:val="00165DEF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  <w:rsid w:val="00165DEF"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paragraph" w:customStyle="1" w:styleId="af0">
    <w:name w:val="[基本段落]"/>
    <w:basedOn w:val="a"/>
    <w:uiPriority w:val="99"/>
    <w:qFormat/>
    <w:rsid w:val="006B6BCE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6B6BCE"/>
    <w:pPr>
      <w:ind w:left="48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1585</Words>
  <Characters>9036</Characters>
  <Application>Microsoft Office Word</Application>
  <DocSecurity>0</DocSecurity>
  <Lines>75</Lines>
  <Paragraphs>21</Paragraphs>
  <ScaleCrop>false</ScaleCrop>
  <Company>ITianKong.Com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6</cp:revision>
  <cp:lastPrinted>2020-05-14T06:49:00Z</cp:lastPrinted>
  <dcterms:created xsi:type="dcterms:W3CDTF">2023-06-05T03:33:00Z</dcterms:created>
  <dcterms:modified xsi:type="dcterms:W3CDTF">2024-05-15T08:31:00Z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