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57C55146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3E1B" w14:textId="2479FEE0" w:rsidR="006F5503" w:rsidRPr="00970DFE" w:rsidRDefault="006F5503" w:rsidP="0002761B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02761B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02761B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A4011B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5E66869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BE8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06B2" w14:textId="74909071" w:rsidR="006F5503" w:rsidRPr="00C122FF" w:rsidRDefault="006D3C5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BE7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D955" w14:textId="77777777" w:rsidR="006F5503" w:rsidRPr="00C122FF" w:rsidRDefault="00F83B21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二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4C6FEDCB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353D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36D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62C5" w14:textId="77777777" w:rsidR="006F5503" w:rsidRPr="00C122FF" w:rsidRDefault="005343F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32BB1E27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507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A7A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CB5A" w14:textId="77777777" w:rsidR="006F5503" w:rsidRPr="00C122FF" w:rsidRDefault="005343F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189BC1FC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B9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2BD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B69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556810" w:rsidRPr="00C122FF" w14:paraId="4C8FD2A3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8F14" w14:textId="77777777" w:rsidR="00556810" w:rsidRPr="008E5BBE" w:rsidRDefault="00556810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C463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2C78E6CD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353B2256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38A10B3E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153926BD" w14:textId="77777777" w:rsidR="00556810" w:rsidRPr="00C122F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556810" w:rsidRPr="00C122FF" w14:paraId="2928EF53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96F9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AD8A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743A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1-I-1能從日常客家生活語句了解語詞。</w:t>
            </w:r>
          </w:p>
          <w:p w14:paraId="5969C0E4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1-I-2能培養聆聽客家語文的興趣。</w:t>
            </w:r>
          </w:p>
          <w:p w14:paraId="4919D35A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1-I-3能透過視聽媒材認識日常生活的客家語詞。</w:t>
            </w:r>
          </w:p>
          <w:p w14:paraId="7ECE0C71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2-I-1能說出客家文化的生活表徵。</w:t>
            </w:r>
          </w:p>
          <w:p w14:paraId="41C048B5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2-I-2能表現言說客家語的興趣。</w:t>
            </w:r>
          </w:p>
          <w:p w14:paraId="08B212C3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2-I-3能說出日常生活的客家語詞。</w:t>
            </w:r>
          </w:p>
          <w:p w14:paraId="32866F80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3-I-1能識讀客家語文日常生活常用語詞。</w:t>
            </w:r>
          </w:p>
          <w:p w14:paraId="6A703EDD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3-I-2能養成閱讀客家日用語詞的興趣。</w:t>
            </w:r>
          </w:p>
          <w:p w14:paraId="6F289B6B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4-I-1能認識客家語文的文字書寫。</w:t>
            </w:r>
          </w:p>
          <w:p w14:paraId="03DF50BC" w14:textId="77777777" w:rsidR="00556810" w:rsidRPr="00C122FF" w:rsidRDefault="00556810" w:rsidP="005343FD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842D9">
              <w:rPr>
                <w:rFonts w:ascii="標楷體" w:eastAsia="標楷體" w:hAnsi="標楷體" w:hint="eastAsia"/>
              </w:rPr>
              <w:t>4-I-2能展現使用客家語文書寫的興趣。</w:t>
            </w:r>
          </w:p>
        </w:tc>
      </w:tr>
      <w:tr w:rsidR="00556810" w:rsidRPr="00C122FF" w14:paraId="707AA47C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1161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81FF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B93F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Ab-I-1客家語淺易漢字。</w:t>
            </w:r>
          </w:p>
          <w:p w14:paraId="7733AD21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Ab-I-2客家語淺易語詞。</w:t>
            </w:r>
          </w:p>
          <w:p w14:paraId="1485C5F3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Ac-I-1客家語淺易生活用語。</w:t>
            </w:r>
          </w:p>
          <w:p w14:paraId="6B07B199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Ad-I-2客家語淺易歌謠。</w:t>
            </w:r>
          </w:p>
          <w:p w14:paraId="21352EDF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Ae-I-1客家語簡易情意表達。</w:t>
            </w:r>
          </w:p>
          <w:p w14:paraId="1053F742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Bb-I-1簡易表達。</w:t>
            </w:r>
          </w:p>
          <w:p w14:paraId="00415514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Be-I-1時間與天氣。</w:t>
            </w:r>
          </w:p>
          <w:p w14:paraId="65699949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Bc-I-1生活起居。</w:t>
            </w:r>
          </w:p>
          <w:p w14:paraId="1F2A6821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Ca-I-1客家傳統節日。</w:t>
            </w:r>
          </w:p>
          <w:p w14:paraId="38E97D59" w14:textId="77777777" w:rsidR="00556810" w:rsidRPr="00C122FF" w:rsidRDefault="00556810" w:rsidP="005343FD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842D9">
              <w:rPr>
                <w:rFonts w:ascii="標楷體" w:eastAsia="標楷體" w:hAnsi="標楷體" w:hint="eastAsia"/>
              </w:rPr>
              <w:t>Cc-I-1客家生活飲食。</w:t>
            </w:r>
          </w:p>
        </w:tc>
      </w:tr>
      <w:tr w:rsidR="00556810" w:rsidRPr="00C122FF" w14:paraId="1186C7F3" w14:textId="77777777" w:rsidTr="00D84F87">
        <w:trPr>
          <w:trHeight w:val="7362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50B21" w14:textId="4E0C8276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343FD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C1FC" w14:textId="52FAA852" w:rsidR="00556810" w:rsidRPr="005343FD" w:rsidRDefault="00000000" w:rsidP="00D84F87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10CD9221">
                <v:group id="_x0000_s2258" style="position:absolute;left:0;text-align:left;margin-left:-1.35pt;margin-top:16.5pt;width:394.6pt;height:329.45pt;z-index:251685376;mso-position-horizontal-relative:text;mso-position-vertical-relative:text" coordorigin="2746,2066" coordsize="7892,6707">
                  <v:line id="_x0000_s2259" style="position:absolute" from="8154,2404" to="8177,3847" strokeweight="1.5pt"/>
                  <v:line id="_x0000_s2260" style="position:absolute;mso-wrap-edited:f" from="8163,3846" to="8424,3847" wrapcoords="-847 0 -847 0 22024 0 22024 0 -847 0" strokeweight="1.5pt"/>
                  <v:line id="_x0000_s2261" style="position:absolute;mso-wrap-edited:f" from="8154,2404" to="8415,2405" wrapcoords="-847 0 -847 0 22024 0 22024 0 -847 0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262" type="#_x0000_t202" style="position:absolute;left:8428;top:2066;width:2155;height:890;mso-wrap-edited:f" wrapcoords="-180 0 -180 21600 21780 21600 21780 0 -180 0" strokeweight="3pt">
                    <v:stroke linestyle="thinThin"/>
                    <v:textbox style="mso-next-textbox:#_x0000_s2262">
                      <w:txbxContent>
                        <w:p w14:paraId="702948CB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第一課　日頭追月光</w:t>
                          </w:r>
                        </w:p>
                      </w:txbxContent>
                    </v:textbox>
                  </v:shape>
                  <v:shape id="_x0000_s2263" type="#_x0000_t202" style="position:absolute;left:8428;top:3347;width:2155;height:890;mso-wrap-edited:f" wrapcoords="-180 0 -180 21600 21780 21600 21780 0 -180 0" strokeweight="3pt">
                    <v:stroke linestyle="thinThin"/>
                    <v:textbox style="mso-next-textbox:#_x0000_s2263">
                      <w:txbxContent>
                        <w:p w14:paraId="2EFA5C8F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第二課　暗晡頭</w:t>
                          </w:r>
                        </w:p>
                      </w:txbxContent>
                    </v:textbox>
                  </v:shape>
                  <v:line id="_x0000_s2264" style="position:absolute;mso-wrap-edited:f" from="5050,3023" to="5051,8351" wrapcoords="0 0 0 21531 0 21531 0 0 0 0" strokeweight="1.5pt"/>
                  <v:line id="_x0000_s2265" style="position:absolute;mso-wrap-edited:f" from="5051,3035" to="8141,3035" wrapcoords="-847 0 -847 0 22024 0 22024 0 -847 0" strokeweight="1.5pt"/>
                  <v:line id="_x0000_s2266" style="position:absolute;mso-wrap-edited:f" from="5049,8350" to="8483,8351" wrapcoords="-847 0 -847 0 22024 0 22024 0 -847 0" strokeweight="1.5pt"/>
                  <v:shape id="_x0000_s2267" type="#_x0000_t202" style="position:absolute;left:5383;top:2700;width:2350;height:739;mso-wrap-edited:f" wrapcoords="-180 0 -180 21600 21780 21600 21780 0 -180 0" strokeweight="3pt">
                    <v:stroke linestyle="thinThin"/>
                    <v:textbox style="mso-next-textbox:#_x0000_s2267">
                      <w:txbxContent>
                        <w:p w14:paraId="6881EB3E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第一單元　日仔</w:t>
                          </w:r>
                        </w:p>
                      </w:txbxContent>
                    </v:textbox>
                  </v:shape>
                  <v:shape id="_x0000_s2268" type="#_x0000_t202" style="position:absolute;left:5378;top:8027;width:2350;height:738;mso-wrap-edited:f" wrapcoords="-180 0 -180 21600 21780 21600 21780 0 -180 0" strokeweight="3pt">
                    <v:stroke linestyle="thinThin"/>
                    <v:textbox style="mso-next-textbox:#_x0000_s2268">
                      <w:txbxContent>
                        <w:p w14:paraId="0E6D99DE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第三單元　天時</w:t>
                          </w:r>
                        </w:p>
                      </w:txbxContent>
                    </v:textbox>
                  </v:shape>
                  <v:group id="_x0000_s2269" style="position:absolute;left:8166;top:5263;width:261;height:1454" coordorigin="8667,4672" coordsize="822,1850">
                    <v:line id="_x0000_s2270" style="position:absolute;flip:x;mso-wrap-edited:f" from="8667,4672" to="8682,6522" wrapcoords="0 0 0 21531 0 21531 0 0 0 0" strokeweight="1.5pt"/>
                    <v:line id="_x0000_s2271" style="position:absolute;mso-wrap-edited:f" from="8703,4682" to="9478,4682" wrapcoords="-847 0 -847 0 22024 0 22024 0 -847 0" strokeweight="1.5pt"/>
                    <v:line id="_x0000_s2272" style="position:absolute;mso-wrap-edited:f" from="8667,6507" to="9489,6507" wrapcoords="-847 0 -847 0 22024 0 22024 0 -847 0" strokeweight="1.5pt"/>
                  </v:group>
                  <v:line id="_x0000_s2273" style="position:absolute;mso-wrap-edited:f" from="4626,5834" to="8095,5834" wrapcoords="-847 0 -847 0 22024 0 22024 0 -847 0" strokeweight="1.5pt"/>
                  <v:shape id="_x0000_s2274" type="#_x0000_t202" style="position:absolute;left:5378;top:5463;width:2350;height:808;mso-wrap-edited:f" wrapcoords="-180 0 -180 21600 21780 21600 21780 0 -180 0" strokeweight="3pt">
                    <v:stroke linestyle="thinThin"/>
                    <v:textbox style="mso-next-textbox:#_x0000_s2274">
                      <w:txbxContent>
                        <w:p w14:paraId="3291168E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第二單元　遶市場</w:t>
                          </w:r>
                        </w:p>
                      </w:txbxContent>
                    </v:textbox>
                  </v:shape>
                  <v:shape id="_x0000_s2275" type="#_x0000_t202" style="position:absolute;left:2746;top:5263;width:1880;height:1107;mso-wrap-edited:f" wrapcoords="-180 0 -180 21600 21780 21600 21780 0 -180 0" strokeweight="3pt">
                    <v:stroke linestyle="thinThin"/>
                    <v:textbox style="mso-next-textbox:#_x0000_s2275">
                      <w:txbxContent>
                        <w:p w14:paraId="43BC5CD2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Ansi="新細明體" w:hint="eastAsia"/>
                            </w:rPr>
                            <w:t>客語第三冊</w:t>
                          </w:r>
                        </w:p>
                      </w:txbxContent>
                    </v:textbox>
                  </v:shape>
                  <v:shape id="_x0000_s2276" type="#_x0000_t202" style="position:absolute;left:8483;top:7969;width:2155;height:804;mso-wrap-edited:f" wrapcoords="-180 0 -180 21600 21780 21600 21780 0 -180 0" strokeweight="3pt">
                    <v:stroke linestyle="thinThin"/>
                    <v:textbox style="mso-next-textbox:#_x0000_s2276">
                      <w:txbxContent>
                        <w:p w14:paraId="7019ACD1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第五課  落雨(水)</w:t>
                          </w:r>
                        </w:p>
                      </w:txbxContent>
                    </v:textbox>
                  </v:shape>
                  <v:shape id="_x0000_s2277" type="#_x0000_t202" style="position:absolute;left:8424;top:4875;width:2155;height:842;mso-wrap-edited:f" wrapcoords="-180 0 -180 21600 21780 21600 21780 0 -180 0" strokeweight="3pt">
                    <v:stroke linestyle="thinThin"/>
                    <v:textbox style="mso-next-textbox:#_x0000_s2277">
                      <w:txbxContent>
                        <w:p w14:paraId="599E43C4" w14:textId="77777777" w:rsidR="00556810" w:rsidRPr="00777103" w:rsidRDefault="00556810" w:rsidP="00D84F87">
                          <w:pPr>
                            <w:spacing w:line="0" w:lineRule="atLeast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第三課</w:t>
                          </w:r>
                          <w:r>
                            <w:rPr>
                              <w:rFonts w:ascii="新細明體" w:hint="eastAsia"/>
                            </w:rPr>
                            <w:t xml:space="preserve">   </w:t>
                          </w:r>
                          <w:r w:rsidRPr="00777103">
                            <w:rPr>
                              <w:rFonts w:ascii="新細明體" w:hint="eastAsia"/>
                            </w:rPr>
                            <w:t>跈阿姆去市場</w:t>
                          </w:r>
                        </w:p>
                      </w:txbxContent>
                    </v:textbox>
                  </v:shape>
                  <v:shape id="_x0000_s2278" type="#_x0000_t202" style="position:absolute;left:8424;top:6170;width:2155;height:840;mso-wrap-edited:f" wrapcoords="-180 0 -180 21600 21780 21600 21780 0 -180 0" strokeweight="3pt">
                    <v:stroke linestyle="thinThin"/>
                    <v:textbox style="mso-next-textbox:#_x0000_s2278">
                      <w:txbxContent>
                        <w:p w14:paraId="7329BE69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第四課  水果</w:t>
                          </w:r>
                        </w:p>
                      </w:txbxContent>
                    </v:textbox>
                  </v:shape>
                </v:group>
              </w:pict>
            </w:r>
            <w:r w:rsidR="00556810">
              <w:rPr>
                <w:rFonts w:ascii="標楷體" w:eastAsia="標楷體" w:hAnsi="標楷體"/>
                <w:color w:val="000000" w:themeColor="text1"/>
                <w:szCs w:val="32"/>
              </w:rPr>
              <w:t>二上</w:t>
            </w:r>
          </w:p>
        </w:tc>
      </w:tr>
      <w:tr w:rsidR="00556810" w:rsidRPr="00C122FF" w14:paraId="07F9EC63" w14:textId="77777777" w:rsidTr="00D84F87">
        <w:trPr>
          <w:trHeight w:val="6939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823A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9D1" w14:textId="50F5D8BC" w:rsidR="00556810" w:rsidRPr="005343FD" w:rsidRDefault="00000000" w:rsidP="005343FD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  <w:lang w:val="zh-TW"/>
              </w:rPr>
              <w:pict w14:anchorId="44EE1AAA">
                <v:group id="_x0000_s2280" style="position:absolute;left:0;text-align:left;margin-left:4.6pt;margin-top:25.35pt;width:391.35pt;height:310.65pt;z-index:251686400;mso-position-horizontal-relative:text;mso-position-vertical-relative:text" coordorigin="3545,1220" coordsize="8542,7594">
                  <v:shape id="_x0000_s2281" type="#_x0000_t202" style="position:absolute;left:3545;top:4460;width:1727;height:1080;mso-wrap-edited:f" wrapcoords="-180 0 -180 21600 21780 21600 21780 0 -180 0" strokeweight="3pt">
                    <v:stroke linestyle="thinThin"/>
                    <v:textbox style="mso-next-textbox:#_x0000_s2281">
                      <w:txbxContent>
                        <w:p w14:paraId="27165C58" w14:textId="76949D4C" w:rsidR="00C464F4" w:rsidRPr="00C464F4" w:rsidRDefault="00C464F4" w:rsidP="00C464F4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C464F4">
                            <w:rPr>
                              <w:rFonts w:ascii="新細明體" w:hAnsi="新細明體" w:hint="eastAsia"/>
                            </w:rPr>
                            <w:t>客語第四冊</w:t>
                          </w:r>
                        </w:p>
                      </w:txbxContent>
                    </v:textbox>
                  </v:shape>
                  <v:group id="_x0000_s2282" style="position:absolute;left:5525;top:1220;width:6562;height:7594" coordorigin="4347,1827" coordsize="6562,7594">
                    <v:group id="_x0000_s2283" style="position:absolute;left:4347;top:3087;width:310;height:5220" coordorigin="3807,3087" coordsize="850,5220">
                      <v:line id="_x0000_s2284" style="position:absolute;flip:x;mso-wrap-edited:f" from="3807,3087" to="3807,8307" wrapcoords="0 0 0 21531 0 21531 0 0 0 0" strokeweight="1.5pt"/>
                      <v:line id="_x0000_s2285" style="position:absolute;mso-wrap-edited:f" from="3807,3087" to="4657,3087" wrapcoords="-847 0 -847 0 22024 0 22024 0 -847 0" strokeweight="1.5pt"/>
                      <v:line id="_x0000_s2286" style="position:absolute;mso-wrap-edited:f" from="3807,5607" to="4657,5607" wrapcoords="-847 0 -847 0 22024 0 22024 0 -847 0" strokeweight="1.5pt"/>
                      <v:line id="_x0000_s2287" style="position:absolute;mso-wrap-edited:f" from="3807,8307" to="4657,8307" wrapcoords="-847 0 -847 0 22024 0 22024 0 -847 0" strokeweight="1.5pt"/>
                    </v:group>
                    <v:group id="_x0000_s2288" style="position:absolute;left:4684;top:1827;width:6225;height:7594" coordorigin="4684,1827" coordsize="6225,7594">
                      <v:group id="_x0000_s2289" style="position:absolute;left:7947;top:1827;width:2962;height:7594" coordorigin="7947,1827" coordsize="2962,7594">
                        <v:shape id="_x0000_s2290" type="#_x0000_t202" style="position:absolute;left:8127;top:1827;width:2520;height:720;mso-wrap-edited:f" wrapcoords="-180 0 -180 21600 21780 21600 21780 0 -180 0" strokeweight="3pt">
                          <v:stroke linestyle="thinThin"/>
                          <v:textbox style="mso-next-textbox:#_x0000_s2290">
                            <w:txbxContent>
                              <w:p w14:paraId="1FE17549" w14:textId="77777777" w:rsidR="00C464F4" w:rsidRPr="00C464F4" w:rsidRDefault="00C464F4" w:rsidP="00C464F4">
                                <w:pPr>
                                  <w:spacing w:line="0" w:lineRule="atLeast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464F4">
                                  <w:rPr>
                                    <w:rFonts w:ascii="新細明體" w:hint="eastAsia"/>
                                    <w:sz w:val="20"/>
                                    <w:szCs w:val="20"/>
                                  </w:rPr>
                                  <w:t>第一課　阿爸个故鄉</w:t>
                                </w:r>
                              </w:p>
                            </w:txbxContent>
                          </v:textbox>
                        </v:shape>
                        <v:group id="_x0000_s2291" style="position:absolute;left:8025;top:7047;width:2884;height:2374" coordorigin="8025,7047" coordsize="2884,2374">
                          <v:shape id="_x0000_s2292" type="#_x0000_t202" style="position:absolute;left:8074;top:7047;width:2835;height:737;mso-wrap-edited:f" wrapcoords="-180 0 -180 21600 21780 21600 21780 0 -180 0" strokeweight="3pt">
                            <v:stroke linestyle="thinThin"/>
                            <v:textbox style="mso-next-textbox:#_x0000_s2292">
                              <w:txbxContent>
                                <w:p w14:paraId="275D38C7" w14:textId="77777777" w:rsidR="00C464F4" w:rsidRPr="00C464F4" w:rsidRDefault="00C464F4" w:rsidP="00C464F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新細明體"/>
                                    </w:rPr>
                                  </w:pPr>
                                  <w:r w:rsidRPr="00C464F4">
                                    <w:rPr>
                                      <w:rFonts w:ascii="新細明體" w:hint="eastAsia"/>
                                    </w:rPr>
                                    <w:t xml:space="preserve">第四課　</w:t>
                                  </w:r>
                                  <w:r w:rsidRPr="00C464F4">
                                    <w:rPr>
                                      <w:rFonts w:ascii="新細明體-ExtB" w:eastAsia="新細明體-ExtB" w:hAnsi="新細明體-ExtB" w:cs="新細明體-ExtB" w:hint="eastAsia"/>
                                      <w:shd w:val="clear" w:color="auto" w:fill="FFFFFF"/>
                                    </w:rPr>
                                    <w:t>𢯭</w:t>
                                  </w:r>
                                  <w:r w:rsidRPr="00C464F4">
                                    <w:rPr>
                                      <w:rFonts w:ascii="新細明體" w:hAnsi="新細明體" w:cs="新細明體" w:hint="eastAsia"/>
                                      <w:shd w:val="clear" w:color="auto" w:fill="FFFFFF"/>
                                    </w:rPr>
                                    <w:t>手搓浴堂</w:t>
                                  </w:r>
                                </w:p>
                              </w:txbxContent>
                            </v:textbox>
                          </v:shape>
                          <v:shape id="_x0000_s2293" type="#_x0000_t202" style="position:absolute;left:8025;top:8521;width:2835;height:900;mso-wrap-edited:f" wrapcoords="-180 0 -180 21600 21780 21600 21780 0 -180 0" strokeweight="3pt">
                            <v:stroke linestyle="thinThin"/>
                            <v:textbox style="mso-next-textbox:#_x0000_s2293">
                              <w:txbxContent>
                                <w:p w14:paraId="3E57FA2B" w14:textId="77777777" w:rsidR="00C464F4" w:rsidRPr="00C464F4" w:rsidRDefault="00C464F4" w:rsidP="00C464F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新細明體"/>
                                    </w:rPr>
                                  </w:pPr>
                                  <w:r w:rsidRPr="00C464F4">
                                    <w:rPr>
                                      <w:rFonts w:ascii="新細明體" w:hint="eastAsia"/>
                                    </w:rPr>
                                    <w:t>第五課  愛淨俐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2294" type="#_x0000_t202" style="position:absolute;left:8127;top:3447;width:2520;height:938;mso-wrap-edited:f" wrapcoords="-180 0 -180 21600 21780 21600 21780 0 -180 0" strokeweight="3pt">
                          <v:stroke linestyle="thinThin"/>
                          <v:textbox style="mso-next-textbox:#_x0000_s2294">
                            <w:txbxContent>
                              <w:p w14:paraId="50250F39" w14:textId="77777777" w:rsidR="00C464F4" w:rsidRPr="00C464F4" w:rsidRDefault="00C464F4" w:rsidP="00C464F4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</w:rPr>
                                </w:pPr>
                                <w:r w:rsidRPr="00C464F4">
                                  <w:rPr>
                                    <w:rFonts w:ascii="新細明體" w:hint="eastAsia"/>
                                  </w:rPr>
                                  <w:t>第二課　春天</w:t>
                                </w:r>
                              </w:p>
                            </w:txbxContent>
                          </v:textbox>
                        </v:shape>
                        <v:shape id="_x0000_s2295" type="#_x0000_t202" style="position:absolute;left:7947;top:5067;width:2700;height:1080;mso-wrap-edited:f" wrapcoords="-180 0 -180 21600 21780 21600 21780 0 -180 0" strokeweight="3pt">
                          <v:stroke linestyle="thinThin"/>
                          <v:textbox style="mso-next-textbox:#_x0000_s2295">
                            <w:txbxContent>
                              <w:p w14:paraId="38C5E21D" w14:textId="77777777" w:rsidR="00C464F4" w:rsidRPr="00C464F4" w:rsidRDefault="00C464F4" w:rsidP="00C464F4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/>
                                  </w:rPr>
                                </w:pPr>
                                <w:r w:rsidRPr="00C464F4">
                                  <w:rPr>
                                    <w:rFonts w:ascii="新細明體" w:hint="eastAsia"/>
                                  </w:rPr>
                                  <w:t>第三課　火焰蟲</w:t>
                                </w:r>
                              </w:p>
                            </w:txbxContent>
                          </v:textbox>
                        </v:shape>
                      </v:group>
                      <v:group id="_x0000_s2296" style="position:absolute;left:4684;top:2187;width:3443;height:6885" coordorigin="4684,2187" coordsize="3443,6885">
                        <v:group id="_x0000_s2297" style="position:absolute;left:4684;top:2727;width:2903;height:5940" coordorigin="4701,2727" coordsize="2886,5940">
                          <v:shape id="_x0000_s2298" type="#_x0000_t202" style="position:absolute;left:4707;top:2727;width:2880;height:721;mso-wrap-edited:f" wrapcoords="-180 0 -180 21600 21780 21600 21780 0 -180 0" strokeweight="3pt">
                            <v:stroke linestyle="thinThin"/>
                            <v:textbox style="mso-next-textbox:#_x0000_s2298">
                              <w:txbxContent>
                                <w:p w14:paraId="1A80354D" w14:textId="77777777" w:rsidR="00C464F4" w:rsidRPr="00C464F4" w:rsidRDefault="00C464F4" w:rsidP="00C464F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新細明體" w:hAnsi="新細明體"/>
                                    </w:rPr>
                                  </w:pPr>
                                  <w:r w:rsidRPr="00C464F4">
                                    <w:rPr>
                                      <w:rFonts w:ascii="新細明體" w:hint="eastAsia"/>
                                    </w:rPr>
                                    <w:t>第一單元　彩色世界</w:t>
                                  </w:r>
                                </w:p>
                              </w:txbxContent>
                            </v:textbox>
                          </v:shape>
                          <v:shape id="_x0000_s2299" type="#_x0000_t202" style="position:absolute;left:4707;top:5247;width:2706;height:788;mso-wrap-edited:f" wrapcoords="-180 0 -180 21600 21780 21600 21780 0 -180 0" strokeweight="3pt">
                            <v:stroke linestyle="thinThin"/>
                            <v:textbox style="mso-next-textbox:#_x0000_s2299">
                              <w:txbxContent>
                                <w:p w14:paraId="43897861" w14:textId="77777777" w:rsidR="00C464F4" w:rsidRPr="00C464F4" w:rsidRDefault="00C464F4" w:rsidP="00C464F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新細明體" w:hAnsi="新細明體"/>
                                    </w:rPr>
                                  </w:pPr>
                                  <w:r w:rsidRPr="00C464F4">
                                    <w:rPr>
                                      <w:rFonts w:ascii="新細明體" w:hint="eastAsia"/>
                                    </w:rPr>
                                    <w:t>第二單元　蟲仔</w:t>
                                  </w:r>
                                </w:p>
                              </w:txbxContent>
                            </v:textbox>
                          </v:shape>
                          <v:shape id="_x0000_s2300" type="#_x0000_t202" style="position:absolute;left:4701;top:7947;width:2706;height:720;mso-wrap-edited:f" wrapcoords="-180 0 -180 21600 21780 21600 21780 0 -180 0" strokeweight="3pt">
                            <v:stroke linestyle="thinThin"/>
                            <v:textbox style="mso-next-textbox:#_x0000_s2300">
                              <w:txbxContent>
                                <w:p w14:paraId="0BDBFDEE" w14:textId="77777777" w:rsidR="00C464F4" w:rsidRPr="006A3172" w:rsidRDefault="00C464F4" w:rsidP="00C464F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新細明體" w:hAnsi="新細明體"/>
                                      <w:sz w:val="28"/>
                                      <w:szCs w:val="28"/>
                                    </w:rPr>
                                  </w:pPr>
                                  <w:r w:rsidRPr="00C464F4">
                                    <w:rPr>
                                      <w:rFonts w:ascii="新細明體" w:hint="eastAsia"/>
                                    </w:rPr>
                                    <w:t>第三單元  個人衛</w:t>
                                  </w:r>
                                  <w:r w:rsidRPr="006A3172">
                                    <w:rPr>
                                      <w:rFonts w:ascii="新細明體" w:hint="eastAsia"/>
                                      <w:sz w:val="28"/>
                                      <w:szCs w:val="28"/>
                                    </w:rPr>
                                    <w:t>生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_x0000_s2301" style="position:absolute;left:7407;top:2187;width:720;height:6885" coordorigin="7407,2187" coordsize="720,6885">
                          <v:line id="_x0000_s2302" style="position:absolute;mso-wrap-edited:f" from="7407,5607" to="7974,5607" wrapcoords="-847 0 -847 0 22024 0 22024 0 -847 0" strokeweight="1.5pt"/>
                          <v:group id="_x0000_s2303" style="position:absolute;left:7407;top:7452;width:618;height:1620" coordorigin="7415,8172" coordsize="2259,1620">
                            <v:line id="_x0000_s2304" style="position:absolute;mso-wrap-edited:f" from="7415,9027" to="8832,9027" wrapcoords="-847 0 -847 0 22024 0 22024 0 -847 0" strokeweight="1.5pt"/>
                            <v:group id="_x0000_s2305" style="position:absolute;left:8832;top:8172;width:842;height:1620" coordorigin="8665,8247" coordsize="842,1930">
                              <v:line id="_x0000_s2306" style="position:absolute;mso-wrap-edited:f" from="8685,8255" to="9507,8255" wrapcoords="-847 0 -847 0 22024 0 22024 0 -847 0" strokeweight="1.5pt"/>
                              <v:line id="_x0000_s2307" style="position:absolute;mso-wrap-edited:f" from="8665,10177" to="9487,10177" wrapcoords="-847 0 -847 0 22024 0 22024 0 -847 0" strokeweight="1.5pt"/>
                              <v:line id="_x0000_s2308" style="position:absolute" from="8682,8247" to="8682,10163" strokeweight="1.5pt"/>
                            </v:group>
                          </v:group>
                          <v:group id="_x0000_s2309" style="position:absolute;left:7587;top:2187;width:540;height:1850" coordorigin="7587,2187" coordsize="720,1850">
                            <v:group id="_x0000_s2310" style="position:absolute;left:7947;top:2187;width:360;height:1850" coordorigin="8667,4672" coordsize="822,1850">
                              <v:line id="_x0000_s2311" style="position:absolute;flip:x;mso-wrap-edited:f" from="8667,4672" to="8682,6522" wrapcoords="0 0 0 21531 0 21531 0 0 0 0" strokeweight="1.5pt"/>
                              <v:line id="_x0000_s2312" style="position:absolute;mso-wrap-edited:f" from="8703,4682" to="9478,4682" wrapcoords="-847 0 -847 0 22024 0 22024 0 -847 0" strokeweight="1.5pt"/>
                              <v:line id="_x0000_s2313" style="position:absolute;mso-wrap-edited:f" from="8667,6507" to="9489,6507" wrapcoords="-847 0 -847 0 22024 0 22024 0 -847 0" strokeweight="1.5pt"/>
                            </v:group>
                            <v:line id="_x0000_s2314" style="position:absolute;mso-wrap-edited:f" from="7587,3087" to="7947,3087" wrapcoords="-847 0 -847 0 22024 0 22024 0 -847 0" strokeweight="1.5pt"/>
                          </v:group>
                        </v:group>
                      </v:group>
                    </v:group>
                  </v:group>
                </v:group>
              </w:pict>
            </w:r>
            <w:r w:rsidR="00556810">
              <w:rPr>
                <w:rFonts w:ascii="標楷體" w:eastAsia="標楷體" w:hAnsi="標楷體"/>
                <w:color w:val="000000" w:themeColor="text1"/>
                <w:szCs w:val="32"/>
              </w:rPr>
              <w:t>二下</w:t>
            </w:r>
          </w:p>
        </w:tc>
      </w:tr>
      <w:tr w:rsidR="00556810" w:rsidRPr="00C122FF" w14:paraId="1F1F284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40E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4B22" w14:textId="37217E10" w:rsidR="00556810" w:rsidRPr="008B11CC" w:rsidRDefault="00994A46" w:rsidP="001269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上：</w:t>
            </w:r>
          </w:p>
          <w:p w14:paraId="7EADE0DC" w14:textId="79F89EAB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人權教育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6F984667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人E8了解兒童對遊戲權力的需求。</w:t>
            </w:r>
          </w:p>
          <w:p w14:paraId="3FD1C3FF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戶外教育</w:t>
            </w:r>
          </w:p>
          <w:p w14:paraId="6D58DABC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戶E1善用教室外、戶外及校外教學，認識生活環境(自然或人為)。</w:t>
            </w:r>
          </w:p>
          <w:p w14:paraId="04CC5AFB" w14:textId="1386AC8A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2ECB0C40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環E2覺知生物生命的美與價值，關懷動、植物的生命。</w:t>
            </w:r>
          </w:p>
          <w:p w14:paraId="3EA1CE83" w14:textId="6A8D42B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多元文化教育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607C5A92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多E1了解自己的文化特質。</w:t>
            </w:r>
          </w:p>
          <w:p w14:paraId="7E946D90" w14:textId="1DAB6ADC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多E2建立自己的文化認同與意識。</w:t>
            </w:r>
          </w:p>
          <w:p w14:paraId="613B0340" w14:textId="77777777" w:rsidR="008B11CC" w:rsidRPr="008B11CC" w:rsidRDefault="008B11CC" w:rsidP="001269F7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8C15D6B" w14:textId="1D4E695A" w:rsidR="008B11CC" w:rsidRPr="008B11CC" w:rsidRDefault="00994A46" w:rsidP="001269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下：</w:t>
            </w:r>
          </w:p>
          <w:p w14:paraId="69B13D57" w14:textId="59F12AD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4F8B3009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品E1良好生活習慣與德行。</w:t>
            </w:r>
          </w:p>
          <w:p w14:paraId="29BEA5A8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品E3溝通合作與和諧人際關係。</w:t>
            </w:r>
          </w:p>
          <w:p w14:paraId="11E5F673" w14:textId="62845116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戶外教育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3E2C5A24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戶E1善用教室外、戶外及校外教學，認識生活環境（自然或人為）。</w:t>
            </w:r>
          </w:p>
          <w:p w14:paraId="468AF20A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戶E3善用五官的感知，培養眼、耳、鼻、舌、觸覺及心靈對環境感受的能力。</w:t>
            </w:r>
          </w:p>
          <w:p w14:paraId="5B74571A" w14:textId="105F14E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多元文化教育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193E68C0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多E1了解自己的文化特質。</w:t>
            </w:r>
          </w:p>
          <w:p w14:paraId="0A453B3C" w14:textId="08CE5E4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1CFE2A17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環E2覺知生物生命的美與價值，關懷動、植物的生命。</w:t>
            </w:r>
          </w:p>
          <w:p w14:paraId="5DA17E29" w14:textId="2945B50B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家庭教育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671B5881" w14:textId="1771C184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家E11養成良好家庭生活習慣，熟悉家務技巧，並參與家務工作。</w:t>
            </w:r>
          </w:p>
        </w:tc>
      </w:tr>
      <w:tr w:rsidR="00556810" w:rsidRPr="00C122FF" w14:paraId="741D7726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F65A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83E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二上：</w:t>
            </w:r>
          </w:p>
          <w:p w14:paraId="63A4315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1.能了解「日頭追月光」課文大意及課文語意朗讀課文，並記住課文主要語詞的意義和用法。</w:t>
            </w:r>
          </w:p>
          <w:p w14:paraId="2D06FE6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2.能用客家語說出「禮拜」、「日子」等語詞練習。</w:t>
            </w:r>
          </w:p>
          <w:p w14:paraId="005A76A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4.能培養運用客家語報讀月曆、日曆上的年、月、日和星期的習慣並應用於日常生活中。</w:t>
            </w:r>
          </w:p>
          <w:p w14:paraId="2987D31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5.能用「～月～日禮拜～去～」的句型及詞彙做說話練習。</w:t>
            </w:r>
          </w:p>
          <w:p w14:paraId="5AB9158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6.能體會太陽對人類的幫助並培養愛護大自然的情操。</w:t>
            </w:r>
          </w:p>
          <w:p w14:paraId="097CE3C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7.能了解「暗晡頭」課文大意及課文語意朗讀課文，並記住課文主要語詞的意義和用法。</w:t>
            </w:r>
          </w:p>
          <w:p w14:paraId="173AC7B9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8.能用客家語表達「一日到暗」各時段的客家語說法並應用於日常生活中。</w:t>
            </w:r>
          </w:p>
          <w:p w14:paraId="450CBEC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9.能讓兒童學習和家人和樂相處，增進彼此的感情。</w:t>
            </w:r>
          </w:p>
          <w:p w14:paraId="150099F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10.能用「～，～摎～共下去～」的句型及詞彙做說話練習。</w:t>
            </w:r>
          </w:p>
          <w:p w14:paraId="531F43E3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11.能運用時間序來規畫一日的活動，並用客家語表達。</w:t>
            </w:r>
          </w:p>
          <w:p w14:paraId="717C4D4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12.能樂意聆聽用客家語敘述「后羿射日頭」的故事，並了解其大意。</w:t>
            </w:r>
          </w:p>
          <w:p w14:paraId="48AD99A0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13.能用客家語表達「后羿射日頭」故事內容中所提及語詞的意思。</w:t>
            </w:r>
          </w:p>
          <w:p w14:paraId="46EB5A4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14.能了解「跈阿姆去市場」課文大意及課文語意朗讀課文，並記住課文主要語詞的意義和用法。</w:t>
            </w:r>
          </w:p>
          <w:p w14:paraId="4DF336C0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15.能用客語說出生活中常見到的青菜名稱。</w:t>
            </w:r>
          </w:p>
          <w:p w14:paraId="06883F3E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16.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能運用「頭家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娘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，〜仰般賣？」、「〜一隻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斤、條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幾多錢？」的句型及詞彙，做對話練習。</w:t>
            </w:r>
          </w:p>
          <w:p w14:paraId="33EED8A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17.能在買賣物品時，表現出應有的禮儀。</w:t>
            </w:r>
          </w:p>
          <w:p w14:paraId="6CFB7D0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18.能了解「水果」課文大意及課文語意朗讀課文，並記住課文主要語詞的意義和用法。</w:t>
            </w:r>
          </w:p>
          <w:p w14:paraId="06F84C0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19.能用客家語說出水果名稱，並應用於日常生活中。</w:t>
            </w:r>
          </w:p>
          <w:p w14:paraId="7E88DA3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20.能用客家語描述「柑仔」、「甘蔗」、「弓蕉」、「西瓜」等水果的外型。</w:t>
            </w:r>
          </w:p>
          <w:p w14:paraId="63295D7B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21.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能運用「這係麼个水果？」、「這係〜」、「你好食麼个水果？」、「〜好食〜」的句型及詞彙，做對話練習。</w:t>
            </w:r>
          </w:p>
          <w:p w14:paraId="44F4135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22.能知道柿餅是客家特色文化之一。</w:t>
            </w:r>
          </w:p>
          <w:p w14:paraId="6296103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23.能了解「落雨(水)」課文大意及課文語意朗讀課文，並記住課文主要語詞的意義和用法。</w:t>
            </w:r>
          </w:p>
          <w:p w14:paraId="31FA2A7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24.能用客家語說出天氣變化等自然現象。</w:t>
            </w:r>
          </w:p>
          <w:p w14:paraId="653BC81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25.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能運用「今晡日个天時仰般？」、「今晡日～」的句型及詞彙，做天氣變化的說話練習。</w:t>
            </w:r>
          </w:p>
          <w:p w14:paraId="4177B7F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26.能知道紙傘是客家特色文化之一。</w:t>
            </w:r>
          </w:p>
          <w:p w14:paraId="28D8DBD1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27.能了解「冬節」的由來及其傳統習俗文化。</w:t>
            </w:r>
          </w:p>
          <w:p w14:paraId="2275A20A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28.能了解「冬節圓」童謠大意，並念出童謠。</w:t>
            </w:r>
          </w:p>
          <w:p w14:paraId="15D62D8E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29.能專心欣賞「阿豬伯」客家童謠。</w:t>
            </w:r>
          </w:p>
          <w:p w14:paraId="549E64D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30.能在教師解釋下聽、念「阿豬伯」童謠中之主要語詞。</w:t>
            </w:r>
          </w:p>
          <w:p w14:paraId="5B8F9E8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31.能夠跟著教師念唱「阿豬伯」客家童謠。</w:t>
            </w:r>
          </w:p>
          <w:p w14:paraId="2FC104F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32.能做「阿豬伯」客家童謠的身體律動。</w:t>
            </w:r>
          </w:p>
          <w:p w14:paraId="1AE78D5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33.能了解「揣令仔」的大意及語意，並朗讀「令仔」。</w:t>
            </w:r>
          </w:p>
          <w:p w14:paraId="4025D26A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34.能在教師解釋下聽、念「揣令仔」中的主要語詞。</w:t>
            </w:r>
          </w:p>
          <w:p w14:paraId="060612D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35.能夠跟著教師念唱「揣令仔」並做說白節奏練習。</w:t>
            </w:r>
          </w:p>
          <w:p w14:paraId="320E606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C95517E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二下：</w:t>
            </w:r>
          </w:p>
          <w:p w14:paraId="3764353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1.能正確朗讀課文，並說明課文大意及語意。</w:t>
            </w:r>
          </w:p>
          <w:p w14:paraId="1A59CB0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2.能認識顏色語詞的客家語說法。</w:t>
            </w:r>
          </w:p>
          <w:p w14:paraId="01CFB6A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3.能從課文唸唱及遊戲活動中培養聆聽客家語文的興趣。</w:t>
            </w:r>
          </w:p>
          <w:p w14:paraId="189EBAA0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4.能認識花卉語詞的客家語說法。</w:t>
            </w:r>
          </w:p>
          <w:p w14:paraId="1C6A4813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5.能識讀四季的語詞及特色形容詞並運用在日常生活中。</w:t>
            </w:r>
          </w:p>
          <w:p w14:paraId="345BB10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6.藉由校園環境巡禮，認識春天的校園，並能感受季節的美好。</w:t>
            </w:r>
          </w:p>
          <w:p w14:paraId="3CA264BB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7.能樂意聆聽客家語敘述--客家靚藍衫的故事，並了解其大意。</w:t>
            </w:r>
          </w:p>
          <w:p w14:paraId="3CFF2CF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8.能用客家語表達客家靚藍衫的故事故事內容中所提及語詞的意思。</w:t>
            </w:r>
          </w:p>
          <w:p w14:paraId="246C705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9.能根據課文描述說出螢火蟲的特性。</w:t>
            </w:r>
          </w:p>
          <w:p w14:paraId="6F1FBD4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10.能用客家語說出本課介紹的昆蟲名稱。</w:t>
            </w:r>
          </w:p>
          <w:p w14:paraId="2FAD6C0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11.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能運用「（人）在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（哪位）（做麼个）」的句型做說話練習。</w:t>
            </w:r>
          </w:p>
          <w:p w14:paraId="2B15AED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12.能樂意和同學分享飼養昆蟲的經驗，進而發覺生命的價值，關懷昆蟲的生命與其生存環境。</w:t>
            </w:r>
          </w:p>
          <w:p w14:paraId="79E162B1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13.能用客家語說出本課衛生用品的名稱，並運用於對話。</w:t>
            </w:r>
          </w:p>
          <w:p w14:paraId="5694126A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14.能養成注重個人衛生的好習慣。</w:t>
            </w:r>
          </w:p>
          <w:p w14:paraId="09935EE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15.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</w:t>
            </w:r>
            <w:r w:rsidRPr="005343FD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用（衛生用品）（做麼个）」的短語做說話練習。</w:t>
            </w:r>
          </w:p>
          <w:p w14:paraId="75AD6B9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16.能用客家語說出本課衛生習慣及清潔工作的名稱，並運用於對話。</w:t>
            </w:r>
          </w:p>
          <w:p w14:paraId="190529E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17.培養兒童注意環境整潔的好習慣。</w:t>
            </w:r>
          </w:p>
          <w:p w14:paraId="7624E5EB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18.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</w:t>
            </w:r>
            <w:r w:rsidRPr="005343FD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會用（清潔工具）（做麼个）」的短語做說話練習。</w:t>
            </w:r>
          </w:p>
          <w:p w14:paraId="00955D43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19.能做說白節奏練習並跟著CD唸唱。</w:t>
            </w:r>
          </w:p>
          <w:p w14:paraId="7D279499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20.能樂意聆聽客家語敘述--客家手工茶箍的故事，並了解其大意。</w:t>
            </w:r>
          </w:p>
          <w:p w14:paraId="727CB9C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21.能用客家語表達客家手工茶箍的故事故事內容中所提及語詞的意思。</w:t>
            </w:r>
          </w:p>
          <w:p w14:paraId="35F0DB6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22.能聽、唸童謠、令仔之主要語詞。</w:t>
            </w:r>
          </w:p>
        </w:tc>
      </w:tr>
      <w:tr w:rsidR="00556810" w:rsidRPr="00C122FF" w14:paraId="18BD430F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D542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008B" w14:textId="77777777" w:rsidR="00556810" w:rsidRPr="00C87235" w:rsidRDefault="00556810" w:rsidP="001A007A">
            <w:pPr>
              <w:rPr>
                <w:rFonts w:ascii="標楷體" w:eastAsia="標楷體" w:hAnsi="標楷體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0FCBBDD9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163EF025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078F8BC5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2.本教材以單元方式呈現，每冊各有五課。除各課內容外，另附看圖聽故事、童謠、老古人言、師傅話及令仔，供學生課後複習及親子共學之用。</w:t>
            </w:r>
          </w:p>
          <w:p w14:paraId="28F1AD41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會講一句話」及「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會做」等部分。</w:t>
            </w:r>
          </w:p>
          <w:p w14:paraId="5A90624A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70179C41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</w:t>
            </w:r>
            <w:r>
              <w:rPr>
                <w:rFonts w:ascii="標楷體" w:eastAsia="標楷體" w:hAnsi="標楷體" w:hint="eastAsia"/>
                <w:szCs w:val="32"/>
              </w:rPr>
              <w:lastRenderedPageBreak/>
              <w:t>與海陸腔兩種為主，為尊重各地方音之差異，另以「字音說明」標註某些語詞的不同讀法。</w:t>
            </w:r>
          </w:p>
          <w:p w14:paraId="54D24E9E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231ED78C" w14:textId="77777777" w:rsidR="00556810" w:rsidRPr="00D101B1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713FC8A8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701DB14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5D3E6674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556810" w:rsidRPr="003D246F" w14:paraId="6337A79F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ED6853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C81F7A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6C77AB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556810" w:rsidRPr="003D246F" w14:paraId="188845D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66A0F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二</w:t>
                  </w: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BF9F7D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563050" w14:textId="77777777" w:rsidR="00556810" w:rsidRPr="003D246F" w:rsidRDefault="00556810" w:rsidP="00556810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三</w:t>
                  </w: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、</w:t>
                  </w: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四</w:t>
                  </w: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</w:t>
                  </w:r>
                </w:p>
              </w:tc>
            </w:tr>
          </w:tbl>
          <w:p w14:paraId="3EECB667" w14:textId="77777777" w:rsidR="00556810" w:rsidRPr="003D246F" w:rsidRDefault="00556810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3D246F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1A1E7113" w14:textId="77777777" w:rsidR="00556810" w:rsidRPr="00C122FF" w:rsidRDefault="00556810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1CE4AFB6" w14:textId="77777777" w:rsidR="00556810" w:rsidRPr="00430AA8" w:rsidRDefault="00556810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0C358960" w14:textId="77777777" w:rsidR="00556810" w:rsidRPr="0017157C" w:rsidRDefault="00556810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7CE3DA73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4C405EEB" w14:textId="77777777" w:rsidR="00556810" w:rsidRPr="00786BA9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5C864200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259ED1AB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58DE5487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645D9CDA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765740EB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0C625C87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348462E9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55D36381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299D240E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0C7CFEE9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324BF19C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2680B3A8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32790089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67164CB4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5D89736D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D1DF4DC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01479B14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33150B2F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495AD767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3D065AC7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37D56A0C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11521B77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15F45430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594E7281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318B9A21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lastRenderedPageBreak/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53A4A09B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6DB2321F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6839CAF7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0C2C61BE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1DAE5ABE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44DBDEA6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41F965EA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D246F">
              <w:rPr>
                <w:rFonts w:ascii="標楷體" w:eastAsia="標楷體" w:hAnsi="標楷體" w:hint="eastAsia"/>
                <w:color w:val="000000"/>
              </w:rPr>
              <w:t>1.範圍包括學習</w:t>
            </w:r>
            <w:r w:rsidRPr="00C17409">
              <w:rPr>
                <w:rFonts w:ascii="標楷體" w:eastAsia="標楷體" w:hAnsi="標楷體" w:hint="eastAsia"/>
              </w:rPr>
              <w:t>表現與學習內容，並兼重核心素養培養。</w:t>
            </w:r>
          </w:p>
          <w:p w14:paraId="17C79328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/>
              </w:rPr>
              <w:t>2.</w:t>
            </w:r>
            <w:r w:rsidRPr="00C17409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5E653481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6B9C23EF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4.實施宜建立適當的規準，使學生對客語文的學習產生高度的興趣，同時維持基本的學習成就表現。</w:t>
            </w:r>
          </w:p>
          <w:p w14:paraId="601B7751" w14:textId="605B1607" w:rsidR="000B14C6" w:rsidRPr="000B14C6" w:rsidRDefault="00556810" w:rsidP="001A007A">
            <w:pPr>
              <w:rPr>
                <w:rFonts w:ascii="標楷體" w:eastAsia="標楷體" w:hAnsi="標楷體" w:hint="eastAsia"/>
              </w:rPr>
            </w:pPr>
            <w:r w:rsidRPr="00C17409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2FC247C1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4B477E85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2A3314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11534" w14:textId="77777777" w:rsidR="00A552CE" w:rsidRDefault="00A552CE">
      <w:r>
        <w:separator/>
      </w:r>
    </w:p>
  </w:endnote>
  <w:endnote w:type="continuationSeparator" w:id="0">
    <w:p w14:paraId="765B6B22" w14:textId="77777777" w:rsidR="00A552CE" w:rsidRDefault="00A5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56B85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A47AF" w14:textId="77777777" w:rsidR="00A552CE" w:rsidRDefault="00A552CE">
      <w:r>
        <w:separator/>
      </w:r>
    </w:p>
  </w:footnote>
  <w:footnote w:type="continuationSeparator" w:id="0">
    <w:p w14:paraId="44B3FBF9" w14:textId="77777777" w:rsidR="00A552CE" w:rsidRDefault="00A55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465390183">
    <w:abstractNumId w:val="0"/>
  </w:num>
  <w:num w:numId="2" w16cid:durableId="907688797">
    <w:abstractNumId w:val="3"/>
  </w:num>
  <w:num w:numId="3" w16cid:durableId="1528912676">
    <w:abstractNumId w:val="2"/>
  </w:num>
  <w:num w:numId="4" w16cid:durableId="1315766931">
    <w:abstractNumId w:val="1"/>
  </w:num>
  <w:num w:numId="5" w16cid:durableId="831263192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8590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47827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31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2761B"/>
    <w:rsid w:val="00027D61"/>
    <w:rsid w:val="00066413"/>
    <w:rsid w:val="00087BA9"/>
    <w:rsid w:val="000B14C6"/>
    <w:rsid w:val="000B5020"/>
    <w:rsid w:val="000C07BE"/>
    <w:rsid w:val="000D01D5"/>
    <w:rsid w:val="000D4B8A"/>
    <w:rsid w:val="000E3B33"/>
    <w:rsid w:val="000F1A59"/>
    <w:rsid w:val="000F3465"/>
    <w:rsid w:val="001050C4"/>
    <w:rsid w:val="00151C4A"/>
    <w:rsid w:val="00152961"/>
    <w:rsid w:val="00155DE0"/>
    <w:rsid w:val="00181EF4"/>
    <w:rsid w:val="001A4D95"/>
    <w:rsid w:val="001C6410"/>
    <w:rsid w:val="00202C09"/>
    <w:rsid w:val="00265FD1"/>
    <w:rsid w:val="002A3314"/>
    <w:rsid w:val="002B3084"/>
    <w:rsid w:val="002C31A1"/>
    <w:rsid w:val="002F0B65"/>
    <w:rsid w:val="002F3132"/>
    <w:rsid w:val="002F48A2"/>
    <w:rsid w:val="00335EA3"/>
    <w:rsid w:val="00352460"/>
    <w:rsid w:val="0037045A"/>
    <w:rsid w:val="00370FE0"/>
    <w:rsid w:val="003731FA"/>
    <w:rsid w:val="003814E9"/>
    <w:rsid w:val="00390FFF"/>
    <w:rsid w:val="003A0D16"/>
    <w:rsid w:val="003F0D2C"/>
    <w:rsid w:val="00407245"/>
    <w:rsid w:val="00483FC3"/>
    <w:rsid w:val="004A5CD2"/>
    <w:rsid w:val="004E685B"/>
    <w:rsid w:val="00523326"/>
    <w:rsid w:val="005343FD"/>
    <w:rsid w:val="00556810"/>
    <w:rsid w:val="00590B4E"/>
    <w:rsid w:val="00595104"/>
    <w:rsid w:val="005A5402"/>
    <w:rsid w:val="005A5826"/>
    <w:rsid w:val="005C4AEA"/>
    <w:rsid w:val="005D096C"/>
    <w:rsid w:val="005E3CFD"/>
    <w:rsid w:val="00603584"/>
    <w:rsid w:val="00604C65"/>
    <w:rsid w:val="00605FCB"/>
    <w:rsid w:val="00695EF1"/>
    <w:rsid w:val="00696B05"/>
    <w:rsid w:val="006A188B"/>
    <w:rsid w:val="006A7937"/>
    <w:rsid w:val="006B4BEC"/>
    <w:rsid w:val="006D3C53"/>
    <w:rsid w:val="006E332A"/>
    <w:rsid w:val="006F5503"/>
    <w:rsid w:val="00745904"/>
    <w:rsid w:val="007565F7"/>
    <w:rsid w:val="00777103"/>
    <w:rsid w:val="00793570"/>
    <w:rsid w:val="007A076B"/>
    <w:rsid w:val="007E0F4A"/>
    <w:rsid w:val="00801DD5"/>
    <w:rsid w:val="008160E6"/>
    <w:rsid w:val="00840913"/>
    <w:rsid w:val="008447D6"/>
    <w:rsid w:val="00847CC8"/>
    <w:rsid w:val="00892044"/>
    <w:rsid w:val="008B11CC"/>
    <w:rsid w:val="008E3117"/>
    <w:rsid w:val="008E5BBE"/>
    <w:rsid w:val="00943321"/>
    <w:rsid w:val="00970DFE"/>
    <w:rsid w:val="00994A46"/>
    <w:rsid w:val="009A3FE3"/>
    <w:rsid w:val="009D0F95"/>
    <w:rsid w:val="009E2F38"/>
    <w:rsid w:val="009F53FE"/>
    <w:rsid w:val="00A2407A"/>
    <w:rsid w:val="00A4011B"/>
    <w:rsid w:val="00A552CE"/>
    <w:rsid w:val="00A61B23"/>
    <w:rsid w:val="00A8671A"/>
    <w:rsid w:val="00AE537B"/>
    <w:rsid w:val="00B24121"/>
    <w:rsid w:val="00B4688B"/>
    <w:rsid w:val="00B51934"/>
    <w:rsid w:val="00B60D80"/>
    <w:rsid w:val="00B86C03"/>
    <w:rsid w:val="00B9305A"/>
    <w:rsid w:val="00BD5C3A"/>
    <w:rsid w:val="00C122FF"/>
    <w:rsid w:val="00C1561B"/>
    <w:rsid w:val="00C464F4"/>
    <w:rsid w:val="00CD49CF"/>
    <w:rsid w:val="00CE2FDF"/>
    <w:rsid w:val="00D06E42"/>
    <w:rsid w:val="00D1550F"/>
    <w:rsid w:val="00D31DDB"/>
    <w:rsid w:val="00D41E76"/>
    <w:rsid w:val="00D84F87"/>
    <w:rsid w:val="00DA36C0"/>
    <w:rsid w:val="00DB1BA6"/>
    <w:rsid w:val="00DC30CE"/>
    <w:rsid w:val="00E63206"/>
    <w:rsid w:val="00E65398"/>
    <w:rsid w:val="00E848C8"/>
    <w:rsid w:val="00EB3CAF"/>
    <w:rsid w:val="00ED2AFF"/>
    <w:rsid w:val="00F079D4"/>
    <w:rsid w:val="00F21DF0"/>
    <w:rsid w:val="00F50AD4"/>
    <w:rsid w:val="00F5322B"/>
    <w:rsid w:val="00F757EF"/>
    <w:rsid w:val="00F7627D"/>
    <w:rsid w:val="00F836BB"/>
    <w:rsid w:val="00F83B21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5"/>
    <o:shapelayout v:ext="edit">
      <o:idmap v:ext="edit" data="2"/>
    </o:shapelayout>
  </w:shapeDefaults>
  <w:decimalSymbol w:val="."/>
  <w:listSeparator w:val=","/>
  <w14:docId w14:val="2245E83C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F836B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F836B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836B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836B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36B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36B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36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36B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F836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F836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F836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  <w:style w:type="paragraph" w:styleId="ad">
    <w:name w:val="Balloon Text"/>
    <w:basedOn w:val="a"/>
    <w:link w:val="ae"/>
    <w:uiPriority w:val="99"/>
    <w:semiHidden/>
    <w:unhideWhenUsed/>
    <w:rsid w:val="007771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771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3D765405-C91D-4AE5-96E1-2FB2EB77BB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683</Words>
  <Characters>3895</Characters>
  <Application>Microsoft Office Word</Application>
  <DocSecurity>0</DocSecurity>
  <Lines>32</Lines>
  <Paragraphs>9</Paragraphs>
  <ScaleCrop>false</ScaleCrop>
  <Company>YGJPS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15</cp:revision>
  <dcterms:created xsi:type="dcterms:W3CDTF">2022-05-18T03:07:00Z</dcterms:created>
  <dcterms:modified xsi:type="dcterms:W3CDTF">2025-10-17T00:52:00Z</dcterms:modified>
</cp:coreProperties>
</file>